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587A40FF" w14:textId="77777777" w:rsidTr="00B864AC">
        <w:trPr>
          <w:trHeight w:val="567"/>
        </w:trPr>
        <w:tc>
          <w:tcPr>
            <w:tcW w:w="9288" w:type="dxa"/>
            <w:gridSpan w:val="2"/>
          </w:tcPr>
          <w:p w14:paraId="023F7BBA" w14:textId="77777777" w:rsidR="00B864AC" w:rsidRPr="00B1775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5DC43C3" w14:textId="77777777" w:rsidTr="00B864AC">
        <w:trPr>
          <w:trHeight w:val="547"/>
        </w:trPr>
        <w:tc>
          <w:tcPr>
            <w:tcW w:w="9288" w:type="dxa"/>
            <w:gridSpan w:val="2"/>
          </w:tcPr>
          <w:p w14:paraId="4C536CB8" w14:textId="77777777" w:rsidR="00D02951" w:rsidRPr="00B17751" w:rsidRDefault="00D02951" w:rsidP="00D0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C59D8" w14:textId="24A2AF2A" w:rsidR="00B864AC" w:rsidRPr="00B17751" w:rsidRDefault="00B17751" w:rsidP="00D0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454FD34B" w14:textId="77777777" w:rsidR="00350452" w:rsidRDefault="00B17751" w:rsidP="00D02951">
            <w:pPr>
              <w:rPr>
                <w:rFonts w:ascii="Times New Roman" w:hAnsi="Times New Roman" w:cs="Times New Roman"/>
                <w:b/>
                <w:bCs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956607" w:rsidRPr="00170CD4">
              <w:rPr>
                <w:rFonts w:ascii="Times New Roman" w:hAnsi="Times New Roman" w:cs="Times New Roman"/>
                <w:b/>
                <w:bCs/>
              </w:rPr>
              <w:t xml:space="preserve">o izmjenama i dopuni Odluke o naknadama predsjedniku, potpredsjednicima i članovima Županijske skupštine Koprivničko-križevačke županije i njezinih radnih tijela </w:t>
            </w:r>
          </w:p>
          <w:p w14:paraId="6953FB4A" w14:textId="052DB39A" w:rsidR="00956607" w:rsidRPr="00B17751" w:rsidRDefault="00956607" w:rsidP="00D0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14:paraId="002013E6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E206FAB" w14:textId="77777777" w:rsidR="00B864AC" w:rsidRPr="00B1775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8FF8A" w14:textId="77777777" w:rsidR="00B864AC" w:rsidRPr="00B1775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14:paraId="22B7855A" w14:textId="77777777" w:rsidTr="009F07ED">
        <w:trPr>
          <w:trHeight w:val="703"/>
        </w:trPr>
        <w:tc>
          <w:tcPr>
            <w:tcW w:w="4644" w:type="dxa"/>
          </w:tcPr>
          <w:p w14:paraId="69A80BF6" w14:textId="77777777" w:rsidR="00B864AC" w:rsidRPr="00B1775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EDFB90D" w14:textId="31437C8A" w:rsidR="00345631" w:rsidRPr="00B17751" w:rsidRDefault="00E21C53" w:rsidP="00A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607">
              <w:rPr>
                <w:rFonts w:ascii="Times New Roman" w:hAnsi="Times New Roman" w:cs="Times New Roman"/>
                <w:b/>
                <w:sz w:val="24"/>
                <w:szCs w:val="24"/>
              </w:rPr>
              <w:t>4. kolovoza</w:t>
            </w:r>
            <w:r w:rsidR="00CA4C5E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7CB2A66" w14:textId="77777777" w:rsidR="00B864AC" w:rsidRPr="00B1775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8265C80" w14:textId="78B93BAD" w:rsidR="00345631" w:rsidRPr="00B17751" w:rsidRDefault="00956607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rujna</w:t>
            </w:r>
            <w:r w:rsidR="00AA1191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B17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58381EB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511C055D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777C867D" w14:textId="77777777" w:rsidTr="00CA4C5E">
        <w:trPr>
          <w:trHeight w:val="4050"/>
        </w:trPr>
        <w:tc>
          <w:tcPr>
            <w:tcW w:w="9288" w:type="dxa"/>
          </w:tcPr>
          <w:p w14:paraId="433F07DD" w14:textId="77777777" w:rsid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4C0B" w14:textId="686D46B9" w:rsid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FC">
              <w:rPr>
                <w:rFonts w:ascii="Times New Roman" w:hAnsi="Times New Roman" w:cs="Times New Roman"/>
                <w:sz w:val="24"/>
                <w:szCs w:val="24"/>
              </w:rPr>
              <w:t xml:space="preserve">Na temelju članka 31. stavka 2. Zakona o lokalnoj i područnoj (regionalnoj) samoupravi („Narodne novine“ broj </w:t>
            </w:r>
            <w:hyperlink r:id="rId8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33/01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9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60/01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0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129/05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1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109/07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2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125/08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3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36/09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 </w:t>
            </w:r>
            <w:hyperlink r:id="rId14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150/11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5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144/12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6" w:history="1">
              <w:r w:rsidRPr="00310EFC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19/13</w:t>
              </w:r>
            </w:hyperlink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pročišćeni tekst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137/15.- ispravak, </w:t>
            </w:r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123/17.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98/19. i 144/20.</w:t>
            </w:r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 daljnjem tekstu: Zakon) predstavničko tijelo jedinice lokalne i područne (regionalne) samouprave donosi odluku o pravu na naknadu za člana svojeg predstavničkog tijela.</w:t>
            </w:r>
          </w:p>
          <w:p w14:paraId="2DE00DE6" w14:textId="77777777" w:rsid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820A79" w14:textId="77777777" w:rsidR="00956607" w:rsidRPr="002D3B04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Svrha ovim izmjena i dopune je usklađivanje postojeće Odluke o naknadama </w:t>
            </w:r>
            <w:r w:rsidRPr="002D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predsjedniku, potpredsjednicima i članovima Županijske skupštine Koprivničko-križevačke županije i njezinih radnih tijela („Službeni glasnik Koprivničko-križevačke županije“ broj 11/14., 2/19., 9/20. i 3/21.) (u daljnjem tekstu: Odluka) s odredbama Zakona kao i uputama Ministarstva pravosuđa i uprave KLASA: 023-01/21-01/692, URBROJ: 514-07-02-02/01-21-01 od 10. prosinca 2021. godine i KLASA: 024-01/22-01/06, URBROJ: 514-07-02-02/01-22-02 od 14. veljače 2022. godine (u daljnjem tekstu: upute Ministarstva) te poboljšanje teksta ove Odluke u cjelini.</w:t>
            </w:r>
          </w:p>
          <w:p w14:paraId="22D8763C" w14:textId="77777777" w:rsidR="00956607" w:rsidRPr="002D3B04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3CB110" w14:textId="77777777" w:rsidR="00956607" w:rsidRPr="002D3B04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Zakonu o uvođenju eura kao službene valute u Republici Hrvatskoj („Narodne novine“ broj 57/22. i 88/22.-ispravak), opći akti koji stupaju na snagu prije uvođenja eura kao službene valute u Republici Hrvatskoj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sadržavaju dvojno </w:t>
            </w:r>
            <w:r w:rsidRPr="002D3B0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iskazivanje novčanih vrijednosti na način da su istodobno istaknuti u kuni i u euru uz primjenu fiksnog tečaja konverzije i sukladno propisanim pravilima za preračunavanje i zaokruživanje.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Radi lakšeg snalaženja, u obrazloženju ove Odluke navest će se dvojno iskazivanje prema fiksnom tečaju konverzije koji iznosi 7,53450 kuna = 1 euro.</w:t>
            </w:r>
          </w:p>
          <w:p w14:paraId="6461A7C6" w14:textId="77777777" w:rsid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E4587" w14:textId="17F80A0B" w:rsid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Člankom 31.a Zakona definirana je ukupna godišnja neto naknada po članu predstavničkog tijela koja ne smije iznositi više od 14.000,00 kuna jer Koprivničko-križevačka županija spada u red županija između 100 000 i 200 000 stanovnika, a što je predviđeno u </w:t>
            </w:r>
            <w:r w:rsidRPr="00373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članku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ove Odluke. </w:t>
            </w:r>
            <w:bookmarkStart w:id="0" w:name="_Hlk11050070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 toga proizlazi da </w:t>
            </w:r>
            <w:r w:rsidR="0029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ime neto naknada</w:t>
            </w:r>
            <w:r w:rsidR="0029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37 članova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smij</w:t>
            </w:r>
            <w:r w:rsidR="0029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0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proračunu Županije</w:t>
            </w:r>
            <w:r w:rsidR="0000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iznositi više od 518.000,00 kuna</w:t>
            </w:r>
            <w:r w:rsidR="0029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godišnje.</w:t>
            </w:r>
            <w:bookmarkEnd w:id="0"/>
          </w:p>
          <w:p w14:paraId="4E6E036A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A06B1" w14:textId="77777777" w:rsidR="00006A6D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Članak 2.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ove Odluke mijenja visinu mjesečne naknade za rad predsjednika i potpredsjednika Županijske skupštine i to tako da istu umanjuje te ona iznosi za predsjednika </w:t>
            </w:r>
            <w:r w:rsidRPr="00956607">
              <w:rPr>
                <w:rFonts w:ascii="Times New Roman" w:hAnsi="Times New Roman"/>
                <w:sz w:val="24"/>
                <w:szCs w:val="24"/>
              </w:rPr>
              <w:t>1.130,18 kuna (150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956607">
              <w:rPr>
                <w:rFonts w:ascii="Times New Roman" w:hAnsi="Times New Roman"/>
                <w:sz w:val="24"/>
                <w:szCs w:val="24"/>
              </w:rPr>
              <w:t xml:space="preserve"> eura)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umjesto dosadašnjih 1.750,00 kuna i za potpredsjednika </w:t>
            </w:r>
            <w:r w:rsidRPr="00956607">
              <w:rPr>
                <w:rFonts w:ascii="Times New Roman" w:hAnsi="Times New Roman"/>
                <w:sz w:val="24"/>
                <w:szCs w:val="24"/>
              </w:rPr>
              <w:t>979,49 kuna (130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956607">
              <w:rPr>
                <w:rFonts w:ascii="Times New Roman" w:hAnsi="Times New Roman"/>
                <w:sz w:val="24"/>
                <w:szCs w:val="24"/>
              </w:rPr>
              <w:t xml:space="preserve"> eura)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, umjesto dosadašnjih 1.500,00 kuna. </w:t>
            </w:r>
          </w:p>
          <w:p w14:paraId="6D85DC43" w14:textId="21A60BA9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Naime prema uputama Ministarstva potrebno je naknade za rad izračunati na drugačiji način, a što se ovom izmjenom i predlaže.</w:t>
            </w:r>
          </w:p>
          <w:p w14:paraId="435FDF9D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6BD1" w14:textId="4975F03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Člankom 3.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ove Odluke mijenjaju se mjesečne naknade za rad članova Županijske skupštine te se ista povećava na način da umjesto postojećih 500,00 kuna ista sada iznosi 753,45 kuna (100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eura). Dok se naknada za rad u radnom tijelu definira u iznosu od 150,69 kuna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eura).</w:t>
            </w:r>
          </w:p>
          <w:p w14:paraId="6DBF0C56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3028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Članak 4.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ove Odluke dodaje novi članak u postojeću Odluku jer je isto potrebno radi preglednosti i jasnosti samog teksta koji se odnosi na način isplate naknade.</w:t>
            </w:r>
          </w:p>
          <w:p w14:paraId="73C9648A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058F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Člankom 5.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ove Odluke precizirane su osobe koje su izuzeci i kojima ne pripada pravo na naknadu za rad, već samo pravo na isplatu troškova prijevoza.</w:t>
            </w:r>
          </w:p>
          <w:p w14:paraId="2A990981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6970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Člancima 6. i 7.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Odluke brišu se riječi koje su se odnosile na vrijeme kada je Koprivničko-križevačka županija na lokalnim izborima birala dva zamjenika župana.</w:t>
            </w:r>
          </w:p>
          <w:p w14:paraId="5FEFC3C7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9E2F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5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članku 8.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 xml:space="preserve"> Odluke naznačuje se dan stupanja na snagu i isti određen za dan 1. listopada 2022. godine.</w:t>
            </w:r>
          </w:p>
          <w:p w14:paraId="265F3257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EF1A" w14:textId="77777777" w:rsidR="00956607" w:rsidRPr="00956607" w:rsidRDefault="00956607" w:rsidP="00956607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>Predlaže se članicama i članovima Županijske skupštine Koprivničko-križevačke županije da donesu Odluku o izmjenama i dopuni Odluke o naknadama predsjedniku, potpredsjednicima i članovima Županijske skupštine Koprivničko-križevačke županije i njezinih radnih tijela, sve u predloženom tekstu.</w:t>
            </w:r>
          </w:p>
          <w:p w14:paraId="4DBA19CC" w14:textId="5EF80665" w:rsidR="005E4A45" w:rsidRPr="00BF72E0" w:rsidRDefault="005E4A45" w:rsidP="007544F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C7B44" w14:textId="4AA956A8" w:rsidR="00023F8A" w:rsidRPr="00A63F6E" w:rsidRDefault="005E4A45" w:rsidP="00B17751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>Pozivamo predstavnike javnosti da najkasnije do</w:t>
      </w:r>
      <w:r w:rsidR="00AA1191">
        <w:rPr>
          <w:rFonts w:ascii="Times New Roman" w:hAnsi="Times New Roman" w:cs="Times New Roman"/>
          <w:sz w:val="24"/>
          <w:szCs w:val="24"/>
        </w:rPr>
        <w:t xml:space="preserve"> </w:t>
      </w:r>
      <w:r w:rsidR="00956607">
        <w:rPr>
          <w:rFonts w:ascii="Times New Roman" w:hAnsi="Times New Roman" w:cs="Times New Roman"/>
          <w:sz w:val="24"/>
          <w:szCs w:val="24"/>
        </w:rPr>
        <w:t xml:space="preserve">3. rujna </w:t>
      </w:r>
      <w:r w:rsidR="00790C4B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976432">
        <w:rPr>
          <w:rFonts w:ascii="Times New Roman" w:hAnsi="Times New Roman" w:cs="Times New Roman"/>
          <w:sz w:val="24"/>
          <w:szCs w:val="24"/>
        </w:rPr>
        <w:t xml:space="preserve"> </w:t>
      </w:r>
      <w:r w:rsidR="00956607" w:rsidRPr="00170CD4">
        <w:rPr>
          <w:rFonts w:ascii="Times New Roman" w:hAnsi="Times New Roman" w:cs="Times New Roman"/>
          <w:b/>
          <w:bCs/>
        </w:rPr>
        <w:t xml:space="preserve">Odluke o izmjenama i dopuni Odluke o naknadama predsjedniku, potpredsjednicima i članovima Županijske skupštine Koprivničko-križevačke županije i njezinih radnih tijela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17" w:history="1">
        <w:r w:rsidR="00790C4B" w:rsidRPr="00C37FC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1E518AF0" w14:textId="77777777" w:rsidR="008F19F7" w:rsidRPr="00F36218" w:rsidRDefault="008F19F7" w:rsidP="00B17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657211">
        <w:rPr>
          <w:rFonts w:ascii="Times New Roman" w:hAnsi="Times New Roman" w:cs="Times New Roman"/>
          <w:sz w:val="24"/>
          <w:szCs w:val="24"/>
        </w:rPr>
        <w:t>.</w:t>
      </w:r>
    </w:p>
    <w:p w14:paraId="394BEB9C" w14:textId="77777777" w:rsidR="008F19F7" w:rsidRPr="00F36218" w:rsidRDefault="008F19F7" w:rsidP="00B177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23D85625" w14:textId="080700F3" w:rsidR="00B17751" w:rsidRDefault="008F19F7" w:rsidP="00B17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</w:t>
      </w:r>
      <w:r w:rsidR="00B94E62">
        <w:rPr>
          <w:rFonts w:ascii="Times New Roman" w:hAnsi="Times New Roman" w:cs="Times New Roman"/>
          <w:sz w:val="24"/>
          <w:szCs w:val="24"/>
        </w:rPr>
        <w:t xml:space="preserve"> prijedloga </w:t>
      </w:r>
      <w:r w:rsidR="00B94E62" w:rsidRPr="00956607">
        <w:rPr>
          <w:rFonts w:ascii="Times New Roman" w:hAnsi="Times New Roman" w:cs="Times New Roman"/>
          <w:b/>
          <w:bCs/>
          <w:sz w:val="24"/>
          <w:szCs w:val="24"/>
        </w:rPr>
        <w:t>Odluke o</w:t>
      </w:r>
      <w:r w:rsidRPr="00956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607" w:rsidRPr="00956607">
        <w:rPr>
          <w:rFonts w:ascii="Times New Roman" w:hAnsi="Times New Roman" w:cs="Times New Roman"/>
          <w:b/>
          <w:bCs/>
        </w:rPr>
        <w:t>izmjenama i dopuni Odluke o naknadama predsjedniku, potpredsjednicima i članovima Županijske skupštine Koprivničko-križevačke županije i njezinih radnih tijela</w:t>
      </w:r>
    </w:p>
    <w:p w14:paraId="0E9F7164" w14:textId="77777777" w:rsidR="00B17751" w:rsidRDefault="00B17751" w:rsidP="00B17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9390C6" w14:textId="3DD1522B" w:rsidR="00B17751" w:rsidRDefault="005D19D8" w:rsidP="00B1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A63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790C4B">
        <w:rPr>
          <w:rFonts w:ascii="Times New Roman" w:hAnsi="Times New Roman" w:cs="Times New Roman"/>
          <w:sz w:val="24"/>
          <w:szCs w:val="24"/>
        </w:rPr>
        <w:t>-01/</w:t>
      </w:r>
      <w:r w:rsidR="00956607">
        <w:rPr>
          <w:rFonts w:ascii="Times New Roman" w:hAnsi="Times New Roman" w:cs="Times New Roman"/>
          <w:sz w:val="24"/>
          <w:szCs w:val="24"/>
        </w:rPr>
        <w:t>7</w:t>
      </w:r>
    </w:p>
    <w:p w14:paraId="724A3EE1" w14:textId="0BF00688" w:rsidR="004B25C3" w:rsidRDefault="005D19D8" w:rsidP="00B1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</w:t>
      </w:r>
      <w:r w:rsidR="009566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14:paraId="255B36C0" w14:textId="0E515430" w:rsidR="004B25C3" w:rsidRDefault="00AA119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56607">
        <w:rPr>
          <w:rFonts w:ascii="Times New Roman" w:hAnsi="Times New Roman" w:cs="Times New Roman"/>
          <w:sz w:val="24"/>
          <w:szCs w:val="24"/>
        </w:rPr>
        <w:t>4. kolovoza</w:t>
      </w:r>
      <w:r w:rsidR="00B17751">
        <w:rPr>
          <w:rFonts w:ascii="Times New Roman" w:hAnsi="Times New Roman" w:cs="Times New Roman"/>
          <w:sz w:val="24"/>
          <w:szCs w:val="24"/>
        </w:rPr>
        <w:t xml:space="preserve"> </w:t>
      </w:r>
      <w:r w:rsidR="005D19D8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sectPr w:rsidR="004B25C3" w:rsidSect="006A579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8BF5" w14:textId="77777777" w:rsidR="00427ED2" w:rsidRDefault="00427ED2" w:rsidP="002342F3">
      <w:pPr>
        <w:spacing w:after="0" w:line="240" w:lineRule="auto"/>
      </w:pPr>
      <w:r>
        <w:separator/>
      </w:r>
    </w:p>
  </w:endnote>
  <w:endnote w:type="continuationSeparator" w:id="0">
    <w:p w14:paraId="05F9DF35" w14:textId="77777777" w:rsidR="00427ED2" w:rsidRDefault="00427ED2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631374B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7209D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C1C5" w14:textId="77777777" w:rsidR="00427ED2" w:rsidRDefault="00427ED2" w:rsidP="002342F3">
      <w:pPr>
        <w:spacing w:after="0" w:line="240" w:lineRule="auto"/>
      </w:pPr>
      <w:r>
        <w:separator/>
      </w:r>
    </w:p>
  </w:footnote>
  <w:footnote w:type="continuationSeparator" w:id="0">
    <w:p w14:paraId="4B97AA4A" w14:textId="77777777" w:rsidR="00427ED2" w:rsidRDefault="00427ED2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142459334">
    <w:abstractNumId w:val="0"/>
  </w:num>
  <w:num w:numId="2" w16cid:durableId="53492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06A6D"/>
    <w:rsid w:val="00023F8A"/>
    <w:rsid w:val="000332C1"/>
    <w:rsid w:val="00045ACC"/>
    <w:rsid w:val="00052D13"/>
    <w:rsid w:val="00073DED"/>
    <w:rsid w:val="000851C5"/>
    <w:rsid w:val="00093CCD"/>
    <w:rsid w:val="000D3ECB"/>
    <w:rsid w:val="000E5975"/>
    <w:rsid w:val="000F2910"/>
    <w:rsid w:val="00101BA7"/>
    <w:rsid w:val="00111DE9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375D3"/>
    <w:rsid w:val="00245F94"/>
    <w:rsid w:val="002506A4"/>
    <w:rsid w:val="0025366B"/>
    <w:rsid w:val="00276BB2"/>
    <w:rsid w:val="002804CF"/>
    <w:rsid w:val="0028158C"/>
    <w:rsid w:val="0028636C"/>
    <w:rsid w:val="00291912"/>
    <w:rsid w:val="002D1F38"/>
    <w:rsid w:val="002D431B"/>
    <w:rsid w:val="002F6F83"/>
    <w:rsid w:val="003106F3"/>
    <w:rsid w:val="003249A1"/>
    <w:rsid w:val="00342CFE"/>
    <w:rsid w:val="00343B9B"/>
    <w:rsid w:val="00345631"/>
    <w:rsid w:val="00350452"/>
    <w:rsid w:val="00376C68"/>
    <w:rsid w:val="003B4299"/>
    <w:rsid w:val="003B5FC0"/>
    <w:rsid w:val="003C3B5C"/>
    <w:rsid w:val="003C4E15"/>
    <w:rsid w:val="003F2DD4"/>
    <w:rsid w:val="00400A27"/>
    <w:rsid w:val="0042484D"/>
    <w:rsid w:val="00427ED2"/>
    <w:rsid w:val="00462451"/>
    <w:rsid w:val="00462A74"/>
    <w:rsid w:val="00475D16"/>
    <w:rsid w:val="00481DAA"/>
    <w:rsid w:val="0048394E"/>
    <w:rsid w:val="00487CA8"/>
    <w:rsid w:val="00493012"/>
    <w:rsid w:val="004B25C3"/>
    <w:rsid w:val="004B4F42"/>
    <w:rsid w:val="004C33BD"/>
    <w:rsid w:val="004D7537"/>
    <w:rsid w:val="00506496"/>
    <w:rsid w:val="00511522"/>
    <w:rsid w:val="00512A01"/>
    <w:rsid w:val="00564C85"/>
    <w:rsid w:val="00571D47"/>
    <w:rsid w:val="005C1A9F"/>
    <w:rsid w:val="005C2961"/>
    <w:rsid w:val="005D19D8"/>
    <w:rsid w:val="005D4776"/>
    <w:rsid w:val="005E4A45"/>
    <w:rsid w:val="0060237D"/>
    <w:rsid w:val="0061186C"/>
    <w:rsid w:val="00615A27"/>
    <w:rsid w:val="00616042"/>
    <w:rsid w:val="00635060"/>
    <w:rsid w:val="006378CE"/>
    <w:rsid w:val="00653BEB"/>
    <w:rsid w:val="00656786"/>
    <w:rsid w:val="00657211"/>
    <w:rsid w:val="00666DFB"/>
    <w:rsid w:val="00686E48"/>
    <w:rsid w:val="00687D54"/>
    <w:rsid w:val="006A5796"/>
    <w:rsid w:val="006D1C98"/>
    <w:rsid w:val="006D23FB"/>
    <w:rsid w:val="006D7A52"/>
    <w:rsid w:val="006E2D19"/>
    <w:rsid w:val="00722810"/>
    <w:rsid w:val="00731B92"/>
    <w:rsid w:val="00752D46"/>
    <w:rsid w:val="00753AD1"/>
    <w:rsid w:val="007544FF"/>
    <w:rsid w:val="0075467E"/>
    <w:rsid w:val="00761955"/>
    <w:rsid w:val="00770BF2"/>
    <w:rsid w:val="007836FA"/>
    <w:rsid w:val="00787EA1"/>
    <w:rsid w:val="00790C4B"/>
    <w:rsid w:val="00797B6B"/>
    <w:rsid w:val="007A667D"/>
    <w:rsid w:val="007C31CD"/>
    <w:rsid w:val="007C4EE3"/>
    <w:rsid w:val="007C50D9"/>
    <w:rsid w:val="007C6130"/>
    <w:rsid w:val="007E2C70"/>
    <w:rsid w:val="007F16A4"/>
    <w:rsid w:val="0080463F"/>
    <w:rsid w:val="00831A2E"/>
    <w:rsid w:val="00834C2C"/>
    <w:rsid w:val="00866D7E"/>
    <w:rsid w:val="00873BDB"/>
    <w:rsid w:val="008937D3"/>
    <w:rsid w:val="008977C0"/>
    <w:rsid w:val="008A38FC"/>
    <w:rsid w:val="008A5E7B"/>
    <w:rsid w:val="008D0FA1"/>
    <w:rsid w:val="008F05FE"/>
    <w:rsid w:val="008F19F7"/>
    <w:rsid w:val="00922107"/>
    <w:rsid w:val="00933D17"/>
    <w:rsid w:val="009479A2"/>
    <w:rsid w:val="00956607"/>
    <w:rsid w:val="00966F15"/>
    <w:rsid w:val="00970F38"/>
    <w:rsid w:val="00976432"/>
    <w:rsid w:val="009A0CA1"/>
    <w:rsid w:val="009B5C1B"/>
    <w:rsid w:val="009B5DC2"/>
    <w:rsid w:val="009C70FD"/>
    <w:rsid w:val="009E71EF"/>
    <w:rsid w:val="00A10189"/>
    <w:rsid w:val="00A1257A"/>
    <w:rsid w:val="00A22F05"/>
    <w:rsid w:val="00A238A2"/>
    <w:rsid w:val="00A2635E"/>
    <w:rsid w:val="00A27B5C"/>
    <w:rsid w:val="00A41B18"/>
    <w:rsid w:val="00A54470"/>
    <w:rsid w:val="00A63F6E"/>
    <w:rsid w:val="00A73B51"/>
    <w:rsid w:val="00A85D93"/>
    <w:rsid w:val="00A869FA"/>
    <w:rsid w:val="00A879B7"/>
    <w:rsid w:val="00A93C3A"/>
    <w:rsid w:val="00AA1191"/>
    <w:rsid w:val="00AC65AF"/>
    <w:rsid w:val="00AD3F24"/>
    <w:rsid w:val="00B157C0"/>
    <w:rsid w:val="00B17751"/>
    <w:rsid w:val="00B24BBD"/>
    <w:rsid w:val="00B4007F"/>
    <w:rsid w:val="00B426D2"/>
    <w:rsid w:val="00B46D05"/>
    <w:rsid w:val="00B6555A"/>
    <w:rsid w:val="00B76FE9"/>
    <w:rsid w:val="00B85AA1"/>
    <w:rsid w:val="00B864AC"/>
    <w:rsid w:val="00B9057F"/>
    <w:rsid w:val="00B94E62"/>
    <w:rsid w:val="00BA2127"/>
    <w:rsid w:val="00BB5636"/>
    <w:rsid w:val="00BF0D75"/>
    <w:rsid w:val="00BF72E0"/>
    <w:rsid w:val="00C06628"/>
    <w:rsid w:val="00C4204F"/>
    <w:rsid w:val="00C654C5"/>
    <w:rsid w:val="00C738D7"/>
    <w:rsid w:val="00C84484"/>
    <w:rsid w:val="00C86CE8"/>
    <w:rsid w:val="00C937BA"/>
    <w:rsid w:val="00CA0CBF"/>
    <w:rsid w:val="00CA4C5E"/>
    <w:rsid w:val="00CA6D51"/>
    <w:rsid w:val="00CB2F7F"/>
    <w:rsid w:val="00CB65B5"/>
    <w:rsid w:val="00CC1427"/>
    <w:rsid w:val="00CC145B"/>
    <w:rsid w:val="00CC14D9"/>
    <w:rsid w:val="00CE303C"/>
    <w:rsid w:val="00D02951"/>
    <w:rsid w:val="00D1135B"/>
    <w:rsid w:val="00D15435"/>
    <w:rsid w:val="00D2585A"/>
    <w:rsid w:val="00D324A5"/>
    <w:rsid w:val="00D35DF3"/>
    <w:rsid w:val="00D457A8"/>
    <w:rsid w:val="00D55840"/>
    <w:rsid w:val="00D632F9"/>
    <w:rsid w:val="00D7786D"/>
    <w:rsid w:val="00D81125"/>
    <w:rsid w:val="00D8328E"/>
    <w:rsid w:val="00D8613B"/>
    <w:rsid w:val="00DC4A2B"/>
    <w:rsid w:val="00DC5E21"/>
    <w:rsid w:val="00DC7750"/>
    <w:rsid w:val="00DE1593"/>
    <w:rsid w:val="00E00F29"/>
    <w:rsid w:val="00E05B2D"/>
    <w:rsid w:val="00E121EC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65E50"/>
    <w:rsid w:val="00F77829"/>
    <w:rsid w:val="00F95448"/>
    <w:rsid w:val="00FA1726"/>
    <w:rsid w:val="00FB2F81"/>
    <w:rsid w:val="00FB4395"/>
    <w:rsid w:val="00FC22FB"/>
    <w:rsid w:val="00FC2A78"/>
    <w:rsid w:val="00FE1DC9"/>
    <w:rsid w:val="00FE254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C21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mailto:helena.matica@kc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FDDA-8D62-4EFA-8E5F-31C5F5A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Marina Jakšić</cp:lastModifiedBy>
  <cp:revision>2</cp:revision>
  <cp:lastPrinted>2017-06-01T06:23:00Z</cp:lastPrinted>
  <dcterms:created xsi:type="dcterms:W3CDTF">2022-08-04T08:19:00Z</dcterms:created>
  <dcterms:modified xsi:type="dcterms:W3CDTF">2022-08-04T08:19:00Z</dcterms:modified>
</cp:coreProperties>
</file>